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196 vom 25. Juni 1982</w:t>
      </w:r>
    </w:p>
    <w:p>
      <w:r>
        <w:t>Bundesgericht (BGE), 1982-06-25, DE</w:t>
      </w:r>
    </w:p>
    <w:p>
      <w:r>
        <w:rPr>
          <w:b/>
        </w:rPr>
        <w:t xml:space="preserve">Quelle: </w:t>
      </w:r>
      <w:r>
        <w:t>https://mcp.opencaselaw.ch/entscheid/bge_108 IB 196</w:t>
      </w:r>
    </w:p>
    <w:p>
      <w:r>
        <w:t>FR: BGE 108 IB 196 du 25 juin 1982</w:t>
      </w:r>
    </w:p>
    <w:p>
      <w:r>
        <w:t>IT: BGE 108 IB 196 del 25 giugno 1982</w:t>
      </w:r>
    </w:p>
    <w:p>
      <w:pPr>
        <w:pStyle w:val="Heading2"/>
      </w:pPr>
      <w:r>
        <w:t>Regeste</w:t>
      </w:r>
    </w:p>
    <w:p>
      <w:r>
        <w:t>Regeste Auskunftspflicht der Banken über die weitere berufliche Tätigkeit ihrer Organe (Art. 3 Abs. 2 lit. c, 23 bis Abs. 2, 23ter Abs. 1 BankG; Art. 8 Abs. 3 BankV). 1. Bundesgerichtliche Verfahrensgrundsätze bei Verwaltungsgerichtsbeschwerden gegen Verfügungen der Eidgenössischen Bankenkommission (E. 1). 2. Die Eidgenössische Bankenkommission kann sich im vorliegenden Fall sowohl auf Art. 23bis Abs. 2 BankG (E. 2) als auch auf Art. 23ter Abs. 1 BankG (E. 3) stützen, um die Beschwerdeführerin zu verpflichten, Informationen bezüglich der weiteren, über die Tätigkeit für die Bank hinausgehenden beruflichen Aktivitäten ihrer mit der Verwaltung und Geschäftsführung betrauten Personen zu liefern. Bedeutung von Art. 3 Abs. 2 lit. c BankG (E. 2b) und Art. 8 Abs. 3 BankV (E. 2c) im Zusammenhang mit dem Einschreiten der Bankenkommission. 3. Prüfung der Rechtmässigkeit der im konkreten Fall angeordneten Massnahme (E. 4).</w:t>
      </w:r>
    </w:p>
    <w:p>
      <w:pPr>
        <w:pStyle w:val="Heading2"/>
      </w:pPr>
      <w:r>
        <w:t>Erwägungen</w:t>
      </w:r>
    </w:p>
    <w:p>
      <w:r>
        <w:rPr>
          <w:b/>
        </w:rPr>
        <w:t>E. 1</w:t>
      </w:r>
    </w:p>
    <w:p>
      <w:r>
        <w:t>a) Das Bundesgericht wendet das Bundesrecht im verwaltungsgerichtlichen Beschwerdeverfahren von Amtes wegen an. Es ist dabei nach Art. 114 Abs. 1 OG nicht an die von den Parteien BGE 108 Ib 196 S. 200 gegebene Begründung der Begehren gebunden, weshalb es die Beschwerde auch aus anderen als den geltend gemachten Gründen gutheissen oder abweisen kann ( BGE 107 Ib 90 E. 1). b) Mit der Verwaltungsgerichtsbeschwerde kann die Verletzung von Bundesrecht einschliesslich Überschreitung oder Missbrauch des Ermessens sowie die unrichtige oder unvollständige Feststellung des rechtserheblichen Sachverhalts geltend gemacht werden ( Art. 104 lit. a und b OG ), nicht aber die Unangemessenheit der angefochtenen Verfügung ( Art. 104 lit. c OG ). Ob die Voraussetzungen für ein Einschreiten der Eidgenössischen Bankenkommission gegen eine Bank gegeben sind, ist eine Rechtsfrage, die das Bundesgericht an sich frei überprüft. Dabei muss es sich aber Zurückhaltung auferlegen bei der Beurteilung von ausgesprochenen Fachfragen, zu deren Beantwortung die Bankenkommission zufolge ihrer Zusammensetzung aus Sachverständigen besser imstande ist als das Bundesgericht (technisches Ermessen der Eidgenössischen Bankenkommission). Insofern ist der Bankenkommission ein gewisser Beurteilungsspielraum bei der Prüfung des Einzelfalls zuzugestehen ( BGE 103 Ib 354 E. 5b). Ein solcher Beurteilungsspielraum ist der Kommission auch zuzugestehen, wenn die Anwendung eines unbestimmten Rechtsbegriffes der Bankgesetzgebung im Einzelfall zu überprüfen ist ( BGE 103 Ib 356 E. 7b).</w:t>
      </w:r>
    </w:p>
    <w:p>
      <w:r>
        <w:rPr>
          <w:b/>
        </w:rPr>
        <w:t>E. 2</w:t>
      </w:r>
    </w:p>
    <w:p>
      <w:r>
        <w:t>a) Es fragt sich zunächst, ob das Einschreiten der Bankenkommission auf Art. 23bis Abs. 2 BankG gestützt werden kann. Nach Art. 23bis Abs. 2 BankG kann die Kommission von den Revisionsstellen sowie von den Banken alle Auskünfte und Unterlagen verlangen, die sie zur Erfüllung ihrer Aufgabe benötigt. Welche Auskünfte und Unterlagen "zur Erfüllung der Aufgaben der Bankenkommission", die nach Art. 23 Abs. 1 BankG in "der selbständigen Erledigung (der) Aufsicht über das Bankwesen" besteht, erforderlich sind, muss durch Auslegung des Gesetzes ermittelt werden. Welche Auskünfte und Unterlagen dies im einzelnen sind, ist jedoch weitgehend dem technischen Ermessen der Eidgenössischen Bankenkommission anheimgestellt, weshalb das Bundesgericht nur bei eigentlichen Ermessensfehlern in den Entscheid eingreift. Im Zweifel ist ausserdem für eine eher weite Auslegung der Auskunftspflicht gemäss Art. 23bis Abs. 2 BankG zu entscheiden, begünstigt doch der präventive Beizug von genügenden Informationen die frühzeitige Erkennung von Gesetzesverletzungen und sonstigen Missständen. BGE 108 Ib 196 S. 201 b) Als Bestandteil des öffentlichen Rechtes sind die Normen der Bankengesetzgebung grundsätzlich zwingender Natur. Insbesondere die Elemente, die gemäss Art. 3 BankG Voraussetzung für die Erteilung der Geschäftsbewilligung sind, müssen dauernd erfüllt sein. Die Bankenkommission hat darüber zu wachen, dass die ihrer Aufsicht unterstellten Institute sämtliche zwingenden Rechtsnormen einhalten, wobei sie nach Art. 23quinquies Abs. 1 BankG die Bewilligung zur Geschäftstätigkeit entzieht, wenn die Bank die Voraussetzungen für die Bewilligung nicht mehr erfüllt oder ihre gesetzlichen Pflichten grob verletzt. aa) Damit die Bankenkommission diese Aufgabe erfüllen kann, müssen ihr selbstredend die erforderlichen Informationen über die Geschäftstätigkeit der zu beaufsichtigenden Banken zur Verfügung stehen; darüber hinaus muss sie insbesondere aber auch über alle Informationen verfügen, die die Beantwortung der Frage erlauben, ob die mit der Verwaltung und Geschäftsführung der Bank betrauten Personen einen guten Ruf geniessen und Gewähr für eine einwandfreie Geschäftstätigkeit bieten ( Art. 3 Abs. 2 lit. c BankG ), bildet dieses personelle Erfordernis doch ebenfalls eine dauernd zu erfüllende Voraussetzung für die Ausübung der Geschäftstätigkeit. Die weiteren, über die eigentliche Tätigkeit für die Bank hinausgehenden beruflichen Aktivitäten einer mit der "Verwaltung und Geschäftsführung" einer Bank betrauten Person, etwa in einem freien Berufe oder als Organ dritter Gesellschaften, sind geeignet, bankaufsichtsrechtlich relevante Tatbestände zu schaffen; insbesondere im Hinblick auf die von einem Banquier zu verlangende Seriosität ( Art. 3 Abs. 2 lit. c BankG ) kann dessen weitere berufliche Tätigkeit von Bedeutung sein. So wären etwa die Anforderungen an den "guten Ruf" des Banquiers bei Begehung eines Vermögensdeliktes im Sinne des Strafgesetzbuches selbst dann nicht mehr erfüllt, wenn die Tat ausschliesslich mit der weiteren beruflichen Tätigkeit in Verbindung stünde und die Bank selbst durch sie in keiner Weise tangiert würde. Sodann wären die an einen Banquier zu stellenden Anforderungen an den guten Ruf wohl auch schon dann nicht mehr erfüllt, wenn er, ohne sich strafrechtlich schuldig zu machen, im Rahmen seiner weiteren beruflichen Tätigkeit eine schwere Verletzung seiner vertraglichen Verpflichtungen begehen würde. bb) Die Bankenkommission muss schliesslich auch über all diejenigen Informationen über die weiteren beruflichen Aktivitäten BGE 108 Ib 196 S. 202 der Banquiers im Sinne von Art. 3 Abs. 2 lit. c BankG verfügen können, die im Hinblick auf die Frage von Bedeutung sind, ob dadurch die Interessen der Bankgläubiger gefährdet werden könnten ( BGE 106 Ib 147 f. E. 2); wie die Bankenkommission zu Recht festhält, ist in diesem Zusammenhang insbesondere einer allfälligen Haftung der Bank gemäss Art. 55 ZGB (Organhaftung) besondere Beachtung zu schenken. Stünden der Bankenkommission die notwendigen Informationen nicht zur Verfügung, so könnte sie ihren Pflichten nicht nachkommen, wodurch auch die Einhaltung der Vorschriften der Bankengesetzgebung nicht gewährleistet wäre. c) Es kann somit festgehalten werden, dass die Bankenkommission gewisse Informationen über die weitere berufliche Tätigkeit der Banquiers zur Erfüllung ihrer Aufgabe benötigt. Dies gilt jedenfalls dann, wenn wie vorliegend keine strikte personelle Funktionstrennung zwischen der Oberleitung und Aufsicht in der Bank einerseits und der Geschäftsführung andererseits besteht, wie dies vorbehältlich einer ausdrücklichen Ausnahmebewilligung im Sinne von Art. 8 Abs. 3 BankV sonst der Fall sein muss; wird eine solche Ausnahmebewilligung aufgrund der besonderen Umstände, die ein Bankinstitut geltend macht, wie im Falle der Beschwerdeführerin gewährt, so erscheint es als sachlich gerechtfertigt, die fehlende personelle Funktionstrennung mit entsprechenden Auflagen, hier einer Erweiterung der bankengesetzlichen Revision, zu kompensieren. Art. 23bis Abs. 2 BankG ermöglicht deshalb der Bankenkommission im vorliegenden Fall, Informationen über die weitere berufliche Tätigkeit der Herren Y. und Z. anzubegehren, weshalb sie zum Einschreiten berechtigt war. Es kann somit keine Rede davon sein, dass die Kommission bei der Auferlegung der Pflicht, die weitere berufliche Tätigkeit offenzulegen, ihr Ermessen überschritten oder missbraucht hätte. Die Frage, welche konkreten Informationen die Bankenkommission von den betroffenen Banquiers verlangen darf und die Frage, auf welche Weise diese Informationen zu beschaffen sind, brauchen an dieser Stelle, wo nur die grundsätzliche Zulässigkeit des Einschreitens der Bankenkommission zu beurteilen ist, nicht beantwortet zu werden.</w:t>
      </w:r>
    </w:p>
    <w:p>
      <w:r>
        <w:rPr>
          <w:b/>
        </w:rPr>
        <w:t>E. 3</w:t>
      </w:r>
    </w:p>
    <w:p>
      <w:r>
        <w:t>Es fragt sich, ob das Einschreiten der Bankenkommission nicht auch direkt schon auf Art. 23ter BankG gestützt werden kann, wovon die Kommission offensichtlich ausgeht. Anders als BGE 108 Ib 196 S. 203 Art. 23bis Abs. 2 BankG erlaubt Art. 23ter BankG nur ein repressives Einschreiten der Bankenkommission gegen ein Bankinstitut. a) Nach Art. 23ter Abs. 1 BankG erlässt die Bankenkommission die zur Herstellung des ordnungsgemässen Zustandes und zur Beseitigung der Missstände notwendigen Verfügungen, wenn sie von Verletzungen des Gesetzes oder von sonstigen Missständen Kenntnis erhält. Umstritten ist zunächst, ob überhaupt eine "Verletzung des Gesetzes oder ein sonstiger Missstand" vorliegt, der die Bankenkommission zum Einschreiten berechtigt. Dass das Einschreiten der Bankenkommission im vorliegenden Fall mit der Tatbestandsvariante der "Verletzung des Gesetzes" begründet werden könnte, wird von der Vorinstanz nicht geltend gemacht und ergibt sich auch nicht aus den Akten. Hingegen ist die Bankenkommission der Ansicht, es liege ein "sonstiger Missstand" im Sinne von Art. 23ter Abs. 1 BankG vor, der ihr Einschreiten erforderlich mache. Der Missstand liege im Umstand, dass die Revisionsgesellschaft ihren Auftrag, die "Bank gemäss den Bestimmungen im Bankengesetz und in der Verordnung zu prüfen", nicht mehr nachkommen könne, "weil sie keine volle Einsicht in die gesamte wirtschaftliche Tätigkeit der Bank" habe. Dem hält die Beschwerdeführerin namentlich entgegen, unter einem Missstand im Sinne des Bankengesetzes könne nur eine "andauernde Gesetzesverletzung" verstanden werden. b) Was unter einem Missstand im Sinne von Art. 23ter Abs. 1 BankG zu verstehen ist, muss durch Auslegung des Gesetzes ermittelt werden. Dabei handelt es sich um einen unbestimmten Rechtsbegriff, bei dessen Anwendung der Bankenkommission im Einzelfall, gleich wie bei der Beurteilung von Fachfragen, ein gewisser Beurteilungsspielraum zuzugestehen ist. Mit Rücksicht auf den der Bankenkommission zustehenden Beurteilungsspielraum bei der Sinnermittlung der unbestimmten Rechtsbegriffe der Bankengesetzgebung, auferlegt sich das Bundesgericht Zurückhaltung, wenn ein derartiger Entscheid zu überprüfen ist. Es widerspräche in der Tat dem Wesen der Rechtskontrolle, wenn das Bundesgericht einer vertretbaren Auslegung des fraglichen unbestimmten Rechtsbegriffes die Anerkennung versagen und in völlig freier Überprüfung von der Rechtsauffassung der Bankenkommission abweichen würde. Andererseits obliegt es dem Bundesgericht, die Grenzen der Beurteilungsspielräume möglichst genau zu umschreiben, würde doch sonst die Rechtskontrolle ihrerseits ihre Aufgabe nicht mehr erfüllen. BGE 108 Ib 196 S. 204 Der Begriff des "sonstigen Missstandes" gemäss Art. 23ter Abs. 1 BankG , mit welchem die Voraussetzung für das Einschreiten der Bankenkommission umschrieben wird, ist eine Generalklausel: Der Gesetzgeber ging davon aus, dass auch die eingehendste Gesetzgebung nie alle vorkommenden Erscheinungen des Wirtschaftslebens zu regeln vermag (BODMER/KLEINER/LUTZ, Kommentar zum schweizerischen Bankengesetz, Zürich 1982, N. 1 zu Art. 23ter BankG ). Es kann daher auch nicht die Aufgabe des Richters sein, den Beurteilungsspielraum, der der Bankenkommission bei der Konkretisierung des Begriffes des "Missstandes" zukommt, ein für allemal zu umschreiben, wenn dies auch im Hinblick auf die Rechtssicherheit wünschbar wäre; das Bundesgericht muss sich deshalb darauf beschränken, in jedem einzelnen Fall zu prüfen, ob sich die Bankenkommission an den ihr vom Gesetz vorgegebenen Beurteilungsspielraum gehalten hat. c) Wie bereits dargestellt (E. 2b), vermag die weitere berufliche Tätigkeit eines Banquiers im Sinne von Art. 3 Abs. 2 lit. c BankG bankenaufsichtsrechtlich relevante Tatbestände zu schaffen, weshalb der Banquier diese Aktivitäten der Bankenkommission insoweit offenzulegen hat, als sie nach dem Ermessen der Kommission hiezu geeignet sind. Dies muss selbst dann gelten, wenn die Bankenkommission keinerlei Anhaltspunkte dafür hat, dass sich der Banquier im Rahmen dieser Tätigkeit irgendwelche Unkorrektheiten zu Schulden kommen liess. Verweigert der betroffene Banquier diese notwendige und zumutbare Auskunftserteilung gegenüber der Bankenkommission oder ist die weitere berufliche Tätigkeit des Banquiers so beschaffen, dass eine blosse allenfalls mit entsprechenden Unterlagen belegte Auskunftserteilung noch nicht zu einer genügenden Abklärung der tatsächlichen Verhältnisse führt, so hat die Bankenkommission vom Bestehen eines Missstandes im Sinne von Art. 23ter Abs. 1 BankG auszugehen und die für die Beseitigung dieses Zustandes notwendigen Verfügungen zu erlassen. e) Ein solcher Fall ist vorliegend gegeben. Zwar bestehen keinerlei relevante Anhaltspunkte dafür, dass die Herren Y. und Z. die personellen Anforderungen im Sinne von Art. 3 Abs. 2 lit. c BankG nicht mehr erfüllen würden oder dass die weitere berufliche Tätigkeit der beiden Herren die Interessen der Bankgläubiger in anderer Weise gefährden würde; die Bankenkommission hat denn auch die Berechtigung für ihr Vorgehen nicht aus einem konkreten Verstoss gegen die Bankengesetzgebung heraus abgeleitet, wenn BGE 108 Ib 196 S. 205 sie auch aus dem Fall H. gewisse Schlüsse gezogen hat. Doch ist die umfangreiche weitere berufliche Tätigkeit der beiden Banquiers aufgrund der erteilten Auskünfte noch keineswegs so weit erhellt, dass sich die Bankenkommission deswegen ein abschliessendes Urteil darüber bilden könnte, ob dadurch aufsichtsrechtlich relevante Tatbestände geschaffen worden sind. Die Voraussetzungen für ein Einschreiten der Bankenkommission sind daher auch gestützt auf Art. 23ter Abs. 1 BankG gegeben.</w:t>
      </w:r>
    </w:p>
    <w:p>
      <w:r>
        <w:rPr>
          <w:b/>
        </w:rPr>
        <w:t>E. 4</w:t>
      </w:r>
    </w:p>
    <w:p>
      <w:r>
        <w:t>a) Welche Massnahme im Einzelfall angezeigt ist, stellt eine Ermessensfrage dar. Hier kommt der Bankenkommission als fachkundiger Behörde ein weiter Spielraum des Ermessens bei der Auswahl der Massnahmen zu ( BGE 105 Ib 408 E. 1c; BGE 103 Ib 354 E. 5c). Bei der Betätigung ihres Ermessens ist die Kommission an die allgemeinen Grundsätze verwaltungsmässigen Handelns gebunden: Es ist dies das Verbot der Willkür und der rechtsungleichen Behandlung, das Gebot von Treu und Glauben und der Grundsatz der Verhältnismässigkeit. b) aa) Es ist zunächst nicht ersichtlich und wird von der Beschwerdeführerin auch nicht behauptet, dass die Bankenkommission bei der Wahl des Mittels, also der Ausweitung der bankengesetzlichen Revision auf die weitere berufliche Tätigkeit der Herren Y. und Z. gegen das Verbot der Willkür und der rechtsungleichen Behandlung verstossen hätte. Ebensowenig bestehen Anhaltspunkte dafür, dass sie mit ihrem Vorgehen gegen Treu und Glauben verstossen hätte. bb) Es fragt sich schliesslich, ob die Ausweitung der bankengesetzlichen Revision auf die weitere berufliche Tätigkeit der Herren Y. und Z. gegen das Verhältnismässigkeitsprinzip verstösst. In der angefochtenen Verfügung wird die X-Bank AG angewiesen, "Vorkehrungen" zu treffen oder, mit anderen Worten, die Unterlagen bereitzustellen, die es der Revisionsstelle erlauben, die bankengesetzlich relevanten Aspekte der weiteren beruflichen Tätigkeit der Herren Y. und Z. zu überprüfen. Die X-Bank AG hat also nur diejenigen Unterlagen vorzulegen und Auskünfte zu erteilen, die für die Aufsichtsbehörde für deren Aufgabenerfüllung unmittelbar von Bedeutung sind, weshalb die Geheimsphäre der Beschwerdeführerin im Rahmen des angestrebten Zieles optimal geschützt wird; von einem Verstoss gegen das Verhältnismässigkeitsprinzip kann diesbezüglich keine Rede sein. Die Beschwerdeführerin hält die Massnahme sodann für BGE 108 Ib 196 S. 206 unverhältnismässig, weil sie "enorme zusätzliche und jährlich wiederkehrende Revisionskosten" verursache. Die Beschwerdeführerin unterlässt es jedoch zu erläutern, welche andere Massnahme einerseits zur Bereitstellung der erforderlichen Information über die weitere berufliche Tätigkeit der Herren Y. und Z. führen würde und andererseits weniger weit in ihre Rechtssphäre eingreifen würde. Auch ist der Einwand der Beschwerdeführerin, die Verfügung bedeute "einen Eingriff in die persönlichen Rechte und die Handels- und Gewerbefreiheit der Herren Y. und Z. sowie der ihnen nahestehenden Personen" in keiner Weise substantiiert, weshalb darauf nicht eingegangen zu werden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